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84" w:rsidRPr="00B35C84" w:rsidRDefault="00B35C84" w:rsidP="00B35C84">
      <w:pPr>
        <w:pStyle w:val="NormalWeb"/>
        <w:rPr>
          <w:rStyle w:val="sectiontype22"/>
          <w:rFonts w:asciiTheme="minorHAnsi" w:hAnsiTheme="minorHAnsi"/>
          <w:color w:val="000000"/>
          <w:lang w:val="nb-NO"/>
        </w:rPr>
      </w:pPr>
      <w:r w:rsidRPr="00B35C84">
        <w:rPr>
          <w:rStyle w:val="sectiontype22"/>
          <w:rFonts w:asciiTheme="minorHAnsi" w:hAnsiTheme="minorHAnsi"/>
          <w:color w:val="000000"/>
          <w:lang w:val="nb-NO"/>
        </w:rPr>
        <w:t>Sykelønn til ekstrahjelp / ved ekstravakter</w:t>
      </w:r>
    </w:p>
    <w:p w:rsidR="00B35C84" w:rsidRPr="00B35C84" w:rsidRDefault="00B35C84" w:rsidP="00B35C84">
      <w:pPr>
        <w:pStyle w:val="NormalWeb"/>
        <w:rPr>
          <w:rStyle w:val="sectiontype22"/>
          <w:rFonts w:asciiTheme="minorHAnsi" w:hAnsiTheme="minorHAnsi"/>
          <w:b/>
          <w:bCs/>
          <w:color w:val="000000"/>
        </w:rPr>
      </w:pPr>
      <w:bookmarkStart w:id="0" w:name="_GoBack"/>
      <w:r w:rsidRPr="00B35C84">
        <w:rPr>
          <w:rStyle w:val="sectiontype22"/>
          <w:rFonts w:asciiTheme="minorHAnsi" w:hAnsiTheme="minorHAnsi"/>
          <w:b/>
          <w:bCs/>
          <w:color w:val="000000"/>
        </w:rPr>
        <w:t xml:space="preserve"> Det er eit </w:t>
      </w:r>
      <w:r w:rsidRPr="00B35C84">
        <w:rPr>
          <w:rStyle w:val="sectiontype22"/>
          <w:rFonts w:asciiTheme="minorHAnsi" w:hAnsiTheme="minorHAnsi"/>
          <w:b/>
          <w:bCs/>
          <w:color w:val="000000"/>
        </w:rPr>
        <w:t>krav om minst 2 mnd. ansettelse for å nytte e</w:t>
      </w:r>
      <w:r w:rsidRPr="00B35C84">
        <w:rPr>
          <w:rStyle w:val="sectiontype22"/>
          <w:rFonts w:asciiTheme="minorHAnsi" w:hAnsiTheme="minorHAnsi"/>
          <w:b/>
          <w:bCs/>
          <w:color w:val="000000"/>
        </w:rPr>
        <w:t>i</w:t>
      </w:r>
      <w:r w:rsidRPr="00B35C84">
        <w:rPr>
          <w:rStyle w:val="sectiontype22"/>
          <w:rFonts w:asciiTheme="minorHAnsi" w:hAnsiTheme="minorHAnsi"/>
          <w:b/>
          <w:bCs/>
          <w:color w:val="000000"/>
        </w:rPr>
        <w:t>genmelding.</w:t>
      </w:r>
    </w:p>
    <w:bookmarkEnd w:id="0"/>
    <w:p w:rsidR="00B35C84" w:rsidRPr="00B35C84" w:rsidRDefault="00B35C84" w:rsidP="00B35C84">
      <w:pPr>
        <w:rPr>
          <w:i/>
          <w:lang w:eastAsia="nn-NO"/>
        </w:rPr>
      </w:pPr>
      <w:r w:rsidRPr="00B35C84">
        <w:rPr>
          <w:i/>
          <w:lang w:eastAsia="nn-NO"/>
        </w:rPr>
        <w:t xml:space="preserve">Folketrygdlova § 8-24 Rett til å nytte egenmelding </w:t>
      </w:r>
    </w:p>
    <w:p w:rsidR="00B35C84" w:rsidRPr="00B35C84" w:rsidRDefault="00B35C84" w:rsidP="00B35C84">
      <w:pPr>
        <w:rPr>
          <w:i/>
          <w:lang w:val="nb-NO" w:eastAsia="nn-NO"/>
        </w:rPr>
      </w:pPr>
      <w:r w:rsidRPr="00B35C84">
        <w:rPr>
          <w:i/>
          <w:lang w:val="nb-NO" w:eastAsia="nn-NO"/>
        </w:rPr>
        <w:t>For å få rett til å nytte egenmelding må arbeidstakeren ha arbeidet hos arbeidsgiveren i minst to måneder. Ved gjenansettelse innen to uker regnes tidligere arbeidsforhold med.</w:t>
      </w:r>
    </w:p>
    <w:p w:rsidR="00B35C84" w:rsidRPr="00B35C84" w:rsidRDefault="00B35C84" w:rsidP="00B35C84">
      <w:pPr>
        <w:rPr>
          <w:i/>
          <w:lang w:val="nb-NO" w:eastAsia="nn-NO"/>
        </w:rPr>
      </w:pPr>
      <w:r w:rsidRPr="00B35C84">
        <w:rPr>
          <w:i/>
          <w:lang w:val="nb-NO" w:eastAsia="nn-NO"/>
        </w:rPr>
        <w:t>Dersom et arbeidsforhold blir avbrutt i mer enn to uker, kan egenmelding først nyttes etter at arbeidstakeren igjen har vært i arbeid i to måneder.</w:t>
      </w:r>
    </w:p>
    <w:p w:rsidR="00B35C84" w:rsidRPr="00B35C84" w:rsidRDefault="00B35C84" w:rsidP="00B35C84">
      <w:pPr>
        <w:rPr>
          <w:i/>
          <w:lang w:val="nb-NO" w:eastAsia="nn-NO"/>
        </w:rPr>
      </w:pPr>
      <w:r w:rsidRPr="00B35C84">
        <w:rPr>
          <w:i/>
          <w:lang w:val="nb-NO" w:eastAsia="nn-NO"/>
        </w:rPr>
        <w:t xml:space="preserve">Egenmelding kan likevel nyttes når vedkommende har vært i arbeid i fire uker etter avbruddet, dersom avbruddet skyldtes </w:t>
      </w:r>
    </w:p>
    <w:tbl>
      <w:tblPr>
        <w:tblW w:w="0" w:type="auto"/>
        <w:tblCellSpacing w:w="15" w:type="dxa"/>
        <w:tblCellMar>
          <w:left w:w="0" w:type="dxa"/>
          <w:right w:w="0" w:type="dxa"/>
        </w:tblCellMar>
        <w:tblLook w:val="04A0" w:firstRow="1" w:lastRow="0" w:firstColumn="1" w:lastColumn="0" w:noHBand="0" w:noVBand="1"/>
      </w:tblPr>
      <w:tblGrid>
        <w:gridCol w:w="255"/>
        <w:gridCol w:w="6562"/>
      </w:tblGrid>
      <w:tr w:rsidR="00B35C84" w:rsidRPr="00B35C84" w:rsidTr="00B35C84">
        <w:trPr>
          <w:tblCellSpacing w:w="15" w:type="dxa"/>
        </w:trPr>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a)</w:t>
            </w:r>
          </w:p>
        </w:tc>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bedriftspermittering</w:t>
            </w:r>
          </w:p>
        </w:tc>
      </w:tr>
      <w:tr w:rsidR="00B35C84" w:rsidRPr="00B35C84" w:rsidTr="00B35C84">
        <w:trPr>
          <w:tblCellSpacing w:w="15" w:type="dxa"/>
        </w:trPr>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b)</w:t>
            </w:r>
          </w:p>
        </w:tc>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permisjon etter arbeidsmiljøloven §§ 12-2, 12-3,12-4,12-5,12-9 og 12-10.</w:t>
            </w:r>
          </w:p>
        </w:tc>
      </w:tr>
      <w:tr w:rsidR="00B35C84" w:rsidRPr="00B35C84" w:rsidTr="00B35C84">
        <w:trPr>
          <w:tblCellSpacing w:w="15" w:type="dxa"/>
        </w:trPr>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c)</w:t>
            </w:r>
          </w:p>
        </w:tc>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permisjon etter skipsarbeidsloven §§ 7-2 til 7-5, 7-8 og 7-9, eller</w:t>
            </w:r>
          </w:p>
        </w:tc>
      </w:tr>
      <w:tr w:rsidR="00B35C84" w:rsidRPr="00B35C84" w:rsidTr="00B35C84">
        <w:trPr>
          <w:tblCellSpacing w:w="15" w:type="dxa"/>
        </w:trPr>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d)</w:t>
            </w:r>
          </w:p>
        </w:tc>
        <w:tc>
          <w:tcPr>
            <w:tcW w:w="0" w:type="auto"/>
            <w:tcMar>
              <w:top w:w="15" w:type="dxa"/>
              <w:left w:w="15" w:type="dxa"/>
              <w:bottom w:w="15" w:type="dxa"/>
              <w:right w:w="15" w:type="dxa"/>
            </w:tcMar>
            <w:hideMark/>
          </w:tcPr>
          <w:p w:rsidR="00B35C84" w:rsidRPr="00B35C84" w:rsidRDefault="00B35C84" w:rsidP="00B35C84">
            <w:pPr>
              <w:rPr>
                <w:i/>
                <w:lang w:eastAsia="nn-NO"/>
              </w:rPr>
            </w:pPr>
            <w:r w:rsidRPr="00B35C84">
              <w:rPr>
                <w:i/>
                <w:lang w:eastAsia="nn-NO"/>
              </w:rPr>
              <w:t>militær- eller siviltjeneste.</w:t>
            </w:r>
          </w:p>
        </w:tc>
      </w:tr>
    </w:tbl>
    <w:p w:rsidR="00B35C84" w:rsidRPr="00B35C84" w:rsidRDefault="00B35C84" w:rsidP="00B35C84">
      <w:pPr>
        <w:pStyle w:val="NormalWeb"/>
        <w:rPr>
          <w:rFonts w:asciiTheme="minorHAnsi" w:hAnsiTheme="minorHAnsi"/>
          <w:color w:val="000000"/>
          <w:lang w:val="nb-NO"/>
        </w:rPr>
      </w:pPr>
      <w:r w:rsidRPr="00B35C84">
        <w:rPr>
          <w:rFonts w:asciiTheme="minorHAnsi" w:hAnsiTheme="minorHAnsi"/>
          <w:b/>
          <w:iCs/>
          <w:color w:val="000000"/>
          <w:lang w:val="nb-NO"/>
        </w:rPr>
        <w:t>Ekstrahjelp - kortvarig arbeid</w:t>
      </w:r>
      <w:r w:rsidRPr="00B35C84">
        <w:rPr>
          <w:rFonts w:asciiTheme="minorHAnsi" w:hAnsiTheme="minorHAnsi"/>
          <w:b/>
          <w:color w:val="000000"/>
          <w:lang w:val="nb-NO"/>
        </w:rPr>
        <w:br/>
      </w:r>
      <w:r w:rsidRPr="00B35C84">
        <w:rPr>
          <w:rFonts w:asciiTheme="minorHAnsi" w:hAnsiTheme="minorHAnsi"/>
          <w:color w:val="000000"/>
          <w:lang w:val="nb-NO"/>
        </w:rPr>
        <w:t>En ekstrahjelp er i denne sammenheng en arbeidstaker som tar enkeltstående vakter eller annet kortvarig arbeid uten å ha en avtale som varer utover dette.</w:t>
      </w:r>
      <w:r w:rsidRPr="00B35C84">
        <w:rPr>
          <w:rStyle w:val="apple-converted-space"/>
          <w:rFonts w:asciiTheme="minorHAnsi" w:hAnsiTheme="minorHAnsi"/>
          <w:color w:val="000000"/>
          <w:lang w:val="nb-NO"/>
        </w:rPr>
        <w:t> </w:t>
      </w:r>
      <w:r w:rsidRPr="00B35C84">
        <w:rPr>
          <w:rFonts w:asciiTheme="minorHAnsi" w:hAnsiTheme="minorHAnsi"/>
          <w:color w:val="000000"/>
          <w:lang w:val="nb-NO"/>
        </w:rPr>
        <w:t>For eksempel har tilkallingsvikarer gjerne en uforpliktende tilkallingsavtale. De har da ikke et fast forpliktende arbeidsforhold og vil (som hovudregel) ikke ha krav på sykelønn etter Hovedtariffavtalen.</w:t>
      </w:r>
    </w:p>
    <w:p w:rsidR="00B35C84" w:rsidRPr="00B35C84" w:rsidRDefault="00B35C84" w:rsidP="00B35C84">
      <w:pPr>
        <w:pStyle w:val="NormalWeb"/>
        <w:rPr>
          <w:rFonts w:asciiTheme="minorHAnsi" w:hAnsiTheme="minorHAnsi"/>
          <w:color w:val="000000"/>
          <w:lang w:val="nb-NO"/>
        </w:rPr>
      </w:pPr>
      <w:r w:rsidRPr="00B35C84">
        <w:rPr>
          <w:rFonts w:asciiTheme="minorHAnsi" w:hAnsiTheme="minorHAnsi"/>
          <w:b/>
          <w:bCs/>
          <w:i/>
          <w:iCs/>
          <w:color w:val="000000"/>
          <w:lang w:val="nb-NO"/>
        </w:rPr>
        <w:t>Sykelønn etter HTA</w:t>
      </w:r>
      <w:r w:rsidRPr="00B35C84">
        <w:rPr>
          <w:rFonts w:asciiTheme="minorHAnsi" w:hAnsiTheme="minorHAnsi"/>
          <w:b/>
          <w:bCs/>
          <w:color w:val="000000"/>
          <w:lang w:val="nb-NO"/>
        </w:rPr>
        <w:br/>
      </w:r>
      <w:r w:rsidRPr="00B35C84">
        <w:rPr>
          <w:rFonts w:asciiTheme="minorHAnsi" w:hAnsiTheme="minorHAnsi"/>
          <w:bCs/>
          <w:color w:val="000000"/>
          <w:lang w:val="nb-NO"/>
        </w:rPr>
        <w:t>Når det avtales en konkret vakt, vil arbeidstakeren ha krav på sykelønn etter HTA når vakten er tiltrådt (dvs. at vedkommende har møtt frem i arbeidsfør tilstand). Er det avtalt flere vakter, har arbeidstakeren krav på sykelønn for disse dersom første vakt er tiltrådt.</w:t>
      </w:r>
    </w:p>
    <w:p w:rsidR="00B35C84" w:rsidRPr="00B35C84" w:rsidRDefault="00B35C84" w:rsidP="00B35C84">
      <w:pPr>
        <w:pStyle w:val="NormalWeb"/>
        <w:rPr>
          <w:rFonts w:asciiTheme="minorHAnsi" w:hAnsiTheme="minorHAnsi"/>
          <w:color w:val="000000"/>
          <w:lang w:val="nb-NO"/>
        </w:rPr>
      </w:pPr>
      <w:r w:rsidRPr="00B35C84">
        <w:rPr>
          <w:rFonts w:asciiTheme="minorHAnsi" w:hAnsiTheme="minorHAnsi"/>
          <w:i/>
          <w:iCs/>
          <w:color w:val="000000"/>
          <w:lang w:val="nb-NO"/>
        </w:rPr>
        <w:t>Sykelønn etter ftrl.</w:t>
      </w:r>
      <w:r w:rsidRPr="00B35C84">
        <w:rPr>
          <w:rFonts w:asciiTheme="minorHAnsi" w:hAnsiTheme="minorHAnsi"/>
          <w:color w:val="000000"/>
          <w:lang w:val="nb-NO"/>
        </w:rPr>
        <w:br/>
        <w:t>Arbeidstakere som ikke har tiltrådt og dermed faller utenfor HTA, vil likevel kunne ha krav på sykepenger fra arbeidsgiver etter folketrygdlovens regler om arbeidsgiverperiode, se lovens</w:t>
      </w:r>
      <w:r w:rsidRPr="00B35C84">
        <w:rPr>
          <w:rStyle w:val="apple-converted-space"/>
          <w:rFonts w:asciiTheme="minorHAnsi" w:hAnsiTheme="minorHAnsi"/>
          <w:color w:val="000000"/>
          <w:lang w:val="nb-NO"/>
        </w:rPr>
        <w:t> </w:t>
      </w:r>
      <w:hyperlink r:id="rId4" w:tooltip="Folketrygdloven, Del IV - Ytelser ved sykdom m.m., Kapittel 8 - Sykepenger, II - Arbeidstakere, § 8-18 - Sykepenger fra arbeidsgiveren" w:history="1">
        <w:r w:rsidRPr="00B35C84">
          <w:rPr>
            <w:rStyle w:val="Hyperkobling"/>
            <w:rFonts w:asciiTheme="minorHAnsi" w:hAnsiTheme="minorHAnsi"/>
            <w:color w:val="800080"/>
            <w:lang w:val="nb-NO"/>
          </w:rPr>
          <w:t>§8-18</w:t>
        </w:r>
      </w:hyperlink>
      <w:r w:rsidRPr="00B35C84">
        <w:rPr>
          <w:rFonts w:asciiTheme="minorHAnsi" w:hAnsiTheme="minorHAnsi"/>
          <w:color w:val="000000"/>
          <w:lang w:val="nb-NO"/>
        </w:rPr>
        <w:t>. Vilkåret er at arbeidstakeren har vært i arbeid hos arbeidsgiveren i fire uker eller mer.</w:t>
      </w:r>
      <w:r w:rsidRPr="00B35C84">
        <w:rPr>
          <w:rStyle w:val="apple-converted-space"/>
          <w:rFonts w:asciiTheme="minorHAnsi" w:hAnsiTheme="minorHAnsi"/>
          <w:color w:val="000000"/>
          <w:lang w:val="nb-NO"/>
        </w:rPr>
        <w:t> </w:t>
      </w:r>
      <w:r w:rsidRPr="00B35C84">
        <w:rPr>
          <w:rFonts w:asciiTheme="minorHAnsi" w:hAnsiTheme="minorHAnsi"/>
          <w:b/>
          <w:bCs/>
          <w:color w:val="000000"/>
          <w:lang w:val="nb-NO"/>
        </w:rPr>
        <w:t>I vurderingen av om en arbeidstaker tilfredsstiller dette kravet, må dagene ses i sammenheng dersom det er mindre enn 14 dager siden vedkommende var i arbeid. Dersom det er inngått en avtale om nytt arbeid og det er mindre enn 14 dager siden forrige gang vedkommende var i arbeid hos samme arbeidsgiver, må arbeidsgiver betale sykelønn i arbeidsgiverperioden for avtalt arbeid selv om arbeidet ikke er tiltrådt.</w:t>
      </w:r>
      <w:r w:rsidRPr="00B35C84">
        <w:rPr>
          <w:rStyle w:val="apple-converted-space"/>
          <w:rFonts w:asciiTheme="minorHAnsi" w:hAnsiTheme="minorHAnsi"/>
          <w:color w:val="000000"/>
          <w:lang w:val="nb-NO"/>
        </w:rPr>
        <w:t> </w:t>
      </w:r>
      <w:r w:rsidRPr="00B35C84">
        <w:rPr>
          <w:rFonts w:asciiTheme="minorHAnsi" w:hAnsiTheme="minorHAnsi"/>
          <w:color w:val="000000"/>
          <w:lang w:val="nb-NO"/>
        </w:rPr>
        <w:t>Dette følger av en uttalelse fra Ankenemnda for sykelønn. Arbeidsgivers forpliktelse til å utbetale sykepenger vil da være begrenset til 16 kalenderdager (arbeidsgiverperioden), jf. folketrygdloven</w:t>
      </w:r>
      <w:r w:rsidRPr="00B35C84">
        <w:rPr>
          <w:rStyle w:val="apple-converted-space"/>
          <w:rFonts w:asciiTheme="minorHAnsi" w:hAnsiTheme="minorHAnsi"/>
          <w:color w:val="000000"/>
          <w:lang w:val="nb-NO"/>
        </w:rPr>
        <w:t> </w:t>
      </w:r>
      <w:hyperlink r:id="rId5" w:tooltip="Folketrygdloven, Del IV - Ytelser ved sykdom m.m., Kapittel 8 - Sykepenger, II - Arbeidstakere, § 8-19 - Beregning av arbeidsgiverperiode" w:history="1">
        <w:r w:rsidRPr="00B35C84">
          <w:rPr>
            <w:rStyle w:val="Hyperkobling"/>
            <w:rFonts w:asciiTheme="minorHAnsi" w:hAnsiTheme="minorHAnsi"/>
            <w:color w:val="800080"/>
            <w:lang w:val="nb-NO"/>
          </w:rPr>
          <w:t>§8-19</w:t>
        </w:r>
      </w:hyperlink>
      <w:r w:rsidRPr="00B35C84">
        <w:rPr>
          <w:rFonts w:asciiTheme="minorHAnsi" w:hAnsiTheme="minorHAnsi"/>
          <w:color w:val="000000"/>
          <w:lang w:val="nb-NO"/>
        </w:rPr>
        <w:t>. Det er imidlertid viktig å merke seg at det bare skal utbetales sykelønn for de dagene det skulle ha vært utbetalt lønn.</w:t>
      </w:r>
    </w:p>
    <w:p w:rsidR="00B35C84" w:rsidRPr="00B35C84" w:rsidRDefault="00B35C84" w:rsidP="00B35C84">
      <w:pPr>
        <w:pStyle w:val="NormalWeb"/>
        <w:rPr>
          <w:rFonts w:asciiTheme="minorHAnsi" w:hAnsiTheme="minorHAnsi"/>
          <w:color w:val="000000"/>
          <w:lang w:val="nb-NO"/>
        </w:rPr>
      </w:pPr>
      <w:r w:rsidRPr="00B35C84">
        <w:rPr>
          <w:rFonts w:asciiTheme="minorHAnsi" w:hAnsiTheme="minorHAnsi"/>
          <w:b/>
          <w:i/>
          <w:iCs/>
          <w:color w:val="000000"/>
          <w:lang w:val="nb-NO"/>
        </w:rPr>
        <w:t>Skriftlig avtale om varighet av arbeidet</w:t>
      </w:r>
      <w:r w:rsidRPr="00B35C84">
        <w:rPr>
          <w:rStyle w:val="apple-converted-space"/>
          <w:rFonts w:asciiTheme="minorHAnsi" w:hAnsiTheme="minorHAnsi"/>
          <w:b/>
          <w:i/>
          <w:iCs/>
          <w:color w:val="000000"/>
          <w:lang w:val="nb-NO"/>
        </w:rPr>
        <w:t> </w:t>
      </w:r>
      <w:r w:rsidRPr="00B35C84">
        <w:rPr>
          <w:rFonts w:asciiTheme="minorHAnsi" w:hAnsiTheme="minorHAnsi"/>
          <w:b/>
          <w:color w:val="000000"/>
          <w:lang w:val="nb-NO"/>
        </w:rPr>
        <w:br/>
      </w:r>
      <w:r w:rsidRPr="00B35C84">
        <w:rPr>
          <w:rFonts w:asciiTheme="minorHAnsi" w:hAnsiTheme="minorHAnsi"/>
          <w:bCs/>
          <w:color w:val="000000"/>
          <w:lang w:val="nb-NO"/>
        </w:rPr>
        <w:t>Det er viktig at arbeidsforholdets lengde avtales skriftlig når arbeidstakeren tilkalles. Er det ikke klart (f.eks. ved skriftlig avtale) hvor lenge arbeidsforholdet varer, må arbeidsgiver dekke sykelønn i hele arbeidsgiverperioden, jf. folketrygdloven § 8-18 5. ledd, og da på grunnlag av de vaktene man må anta at vedkommende ville fått.</w:t>
      </w:r>
    </w:p>
    <w:p w:rsidR="00B35C84" w:rsidRPr="00B35C84" w:rsidRDefault="00B35C84" w:rsidP="00B35C84">
      <w:pPr>
        <w:pStyle w:val="NormalWeb"/>
        <w:rPr>
          <w:rFonts w:asciiTheme="minorHAnsi" w:hAnsiTheme="minorHAnsi"/>
          <w:lang w:val="nb-NO"/>
        </w:rPr>
      </w:pPr>
      <w:r w:rsidRPr="00B35C84">
        <w:rPr>
          <w:rFonts w:asciiTheme="minorHAnsi" w:hAnsiTheme="minorHAnsi"/>
          <w:b/>
          <w:i/>
          <w:iCs/>
          <w:lang w:val="nb-NO"/>
        </w:rPr>
        <w:lastRenderedPageBreak/>
        <w:t>Deltidstilsatt som tar ekstravakter</w:t>
      </w:r>
      <w:r w:rsidRPr="00B35C84">
        <w:rPr>
          <w:rFonts w:asciiTheme="minorHAnsi" w:hAnsiTheme="minorHAnsi"/>
          <w:lang w:val="nb-NO"/>
        </w:rPr>
        <w:br/>
        <w:t>Deltidstilsatte som i tillegg til fast stilling tar ekstravakter, vil få sykelønn etter HTA for den avtalte perioden, forutsatt at første vakt er tiltrådt. Merk at dette ikke gjelder overtid i medhold av arbeidsmiljøloven</w:t>
      </w:r>
      <w:r w:rsidRPr="00B35C84">
        <w:rPr>
          <w:rStyle w:val="apple-converted-space"/>
          <w:rFonts w:asciiTheme="minorHAnsi" w:hAnsiTheme="minorHAnsi"/>
          <w:lang w:val="nb-NO"/>
        </w:rPr>
        <w:t> </w:t>
      </w:r>
      <w:hyperlink r:id="rId6" w:tooltip="Arbeidsmiljøloven, Kapittel 10 - Arbeidstid, § 10-6 - Overtid" w:history="1">
        <w:r w:rsidRPr="00B35C84">
          <w:rPr>
            <w:rStyle w:val="Hyperkobling"/>
            <w:rFonts w:asciiTheme="minorHAnsi" w:hAnsiTheme="minorHAnsi"/>
            <w:color w:val="auto"/>
            <w:lang w:val="nb-NO"/>
          </w:rPr>
          <w:t>§10-6</w:t>
        </w:r>
      </w:hyperlink>
      <w:r w:rsidRPr="00B35C84">
        <w:rPr>
          <w:rFonts w:asciiTheme="minorHAnsi" w:hAnsiTheme="minorHAnsi"/>
          <w:lang w:val="nb-NO"/>
        </w:rPr>
        <w:t>. Se</w:t>
      </w:r>
      <w:r w:rsidRPr="00B35C84">
        <w:rPr>
          <w:rStyle w:val="apple-converted-space"/>
          <w:rFonts w:asciiTheme="minorHAnsi" w:hAnsiTheme="minorHAnsi"/>
          <w:lang w:val="nb-NO"/>
        </w:rPr>
        <w:t> </w:t>
      </w:r>
      <w:hyperlink r:id="rId7" w:tooltip="ARD 31.05.02: Lønn under sykdom - beregningsgrunnlag (overtid), " w:history="1">
        <w:r w:rsidRPr="00B35C84">
          <w:rPr>
            <w:rStyle w:val="Hyperkobling"/>
            <w:rFonts w:asciiTheme="minorHAnsi" w:hAnsiTheme="minorHAnsi"/>
            <w:color w:val="auto"/>
            <w:lang w:val="nb-NO"/>
          </w:rPr>
          <w:t>Arbeidsrettens dom i sak nr. 38/ 2000 av 31. mai 2001</w:t>
        </w:r>
      </w:hyperlink>
      <w:r w:rsidRPr="00B35C84">
        <w:rPr>
          <w:rFonts w:asciiTheme="minorHAnsi" w:hAnsiTheme="minorHAnsi"/>
          <w:lang w:val="nb-NO"/>
        </w:rPr>
        <w:t>.</w:t>
      </w:r>
    </w:p>
    <w:p w:rsidR="00B35C84" w:rsidRPr="00B35C84" w:rsidRDefault="00B35C84" w:rsidP="00B35C84">
      <w:pPr>
        <w:rPr>
          <w:rFonts w:asciiTheme="minorHAnsi" w:hAnsiTheme="minorHAnsi"/>
          <w:sz w:val="24"/>
          <w:szCs w:val="24"/>
          <w:lang w:val="nb-NO"/>
        </w:rPr>
      </w:pPr>
      <w:r w:rsidRPr="00B35C84">
        <w:rPr>
          <w:rFonts w:asciiTheme="minorHAnsi" w:hAnsiTheme="minorHAnsi"/>
          <w:b/>
          <w:bCs/>
          <w:i/>
          <w:iCs/>
          <w:sz w:val="24"/>
          <w:szCs w:val="24"/>
          <w:lang w:val="nb-NO"/>
        </w:rPr>
        <w:t>Konklusjon:   Ved sykemelding frå lege, vil tilkallingshjelpa ha krav på lønn under sjukdom for dei dagane som vedk. har inngått avtale om å jobbe, dersom første vakt er tiltrådt.  Dersom det ikkje er skriftleg avtale på dette, for eksempel at vedk. skal vikariere for ein som har vinterferie, er det sannsynleg at arb.forholdet si lengde vil være like lang som feriefråværet  til den fast ansatte osv..  Tilkallingsvikaren har då krav på sykepenger ved egen sjukdom dersom vedk. dokumenterer sjukdommen med legeerklæring og har tiltrådt første vakt.</w:t>
      </w:r>
    </w:p>
    <w:p w:rsidR="00B35C84" w:rsidRPr="00B35C84" w:rsidRDefault="00B35C84" w:rsidP="00B35C84">
      <w:pPr>
        <w:rPr>
          <w:sz w:val="27"/>
          <w:szCs w:val="27"/>
          <w:lang w:val="nb-NO"/>
        </w:rPr>
      </w:pPr>
      <w:r w:rsidRPr="00B35C84">
        <w:rPr>
          <w:rFonts w:ascii="Century Gothic" w:hAnsi="Century Gothic"/>
          <w:i/>
          <w:iCs/>
          <w:sz w:val="28"/>
          <w:szCs w:val="28"/>
          <w:lang w:val="nb-NO"/>
        </w:rPr>
        <w:t> </w:t>
      </w:r>
    </w:p>
    <w:p w:rsidR="00B35C84" w:rsidRDefault="00B35C84" w:rsidP="00B35C84">
      <w:pPr>
        <w:rPr>
          <w:color w:val="1F497D"/>
          <w:lang w:val="nb-NO"/>
        </w:rPr>
      </w:pPr>
    </w:p>
    <w:p w:rsidR="00D31D2F" w:rsidRPr="00B35C84" w:rsidRDefault="00D31D2F">
      <w:pPr>
        <w:rPr>
          <w:lang w:val="nb-NO"/>
        </w:rPr>
      </w:pPr>
    </w:p>
    <w:sectPr w:rsidR="00D31D2F" w:rsidRPr="00B35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84"/>
    <w:rsid w:val="00B35C84"/>
    <w:rsid w:val="00D31D2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3702-A328-4F38-A516-36D3EA0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84"/>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35C84"/>
    <w:rPr>
      <w:color w:val="0563C1"/>
      <w:u w:val="single"/>
    </w:rPr>
  </w:style>
  <w:style w:type="paragraph" w:styleId="NormalWeb">
    <w:name w:val="Normal (Web)"/>
    <w:basedOn w:val="Normal"/>
    <w:uiPriority w:val="99"/>
    <w:semiHidden/>
    <w:unhideWhenUsed/>
    <w:rsid w:val="00B35C84"/>
    <w:pPr>
      <w:spacing w:before="100" w:beforeAutospacing="1" w:after="100" w:afterAutospacing="1"/>
    </w:pPr>
    <w:rPr>
      <w:rFonts w:ascii="Times New Roman" w:hAnsi="Times New Roman"/>
      <w:sz w:val="24"/>
      <w:szCs w:val="24"/>
      <w:lang w:eastAsia="nn-NO"/>
    </w:rPr>
  </w:style>
  <w:style w:type="character" w:customStyle="1" w:styleId="sectiontype22">
    <w:name w:val="sectiontype22"/>
    <w:basedOn w:val="Standardskriftforavsnitt"/>
    <w:rsid w:val="00B35C84"/>
  </w:style>
  <w:style w:type="character" w:customStyle="1" w:styleId="apple-converted-space">
    <w:name w:val="apple-converted-space"/>
    <w:basedOn w:val="Standardskriftforavsnitt"/>
    <w:rsid w:val="00B3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Navbar$CPHM$Doc$S0$S10$P4$ctl06$ctl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Navbar$CPHM$Doc$S0$S10$P4$ctl04$ctl00','')" TargetMode="External"/><Relationship Id="rId5" Type="http://schemas.openxmlformats.org/officeDocument/2006/relationships/hyperlink" Target="javascript:__doPostBack('Navbar$CPHM$Doc$S0$S10$P2$ctl06$ctl00','')" TargetMode="External"/><Relationship Id="rId4" Type="http://schemas.openxmlformats.org/officeDocument/2006/relationships/hyperlink" Target="javascript:__doPostBack('Navbar$CPHM$Doc$S0$S10$P2$ctl04$ctl0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3836</Characters>
  <Application>Microsoft Office Word</Application>
  <DocSecurity>0</DocSecurity>
  <Lines>31</Lines>
  <Paragraphs>9</Paragraphs>
  <ScaleCrop>false</ScaleCrop>
  <Company>Stavanger kommune</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Kristin Sundheim</dc:creator>
  <cp:keywords/>
  <dc:description/>
  <cp:lastModifiedBy>Siw Kristin Sundheim</cp:lastModifiedBy>
  <cp:revision>1</cp:revision>
  <dcterms:created xsi:type="dcterms:W3CDTF">2016-05-12T09:58:00Z</dcterms:created>
  <dcterms:modified xsi:type="dcterms:W3CDTF">2016-05-12T10:02:00Z</dcterms:modified>
</cp:coreProperties>
</file>